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7E5" w14:textId="77777777" w:rsidR="007A3C0D" w:rsidRDefault="007A3C0D">
      <w:pPr>
        <w:jc w:val="both"/>
        <w:rPr>
          <w:b/>
          <w:bCs/>
        </w:rPr>
      </w:pPr>
    </w:p>
    <w:p w14:paraId="51E2196E" w14:textId="77777777" w:rsidR="007A3C0D" w:rsidRDefault="007A3C0D">
      <w:pPr>
        <w:jc w:val="both"/>
        <w:rPr>
          <w:b/>
          <w:bCs/>
        </w:rPr>
      </w:pPr>
    </w:p>
    <w:p w14:paraId="69F679EF" w14:textId="77777777" w:rsidR="007A3C0D" w:rsidRDefault="007A3C0D">
      <w:pPr>
        <w:jc w:val="both"/>
        <w:rPr>
          <w:i/>
          <w:iCs/>
        </w:rPr>
      </w:pPr>
    </w:p>
    <w:p w14:paraId="115BC55C" w14:textId="77777777" w:rsidR="00DA704C" w:rsidRDefault="00DA704C" w:rsidP="00FF626A">
      <w:pPr>
        <w:jc w:val="both"/>
        <w:rPr>
          <w:i/>
          <w:iCs/>
        </w:rPr>
      </w:pPr>
    </w:p>
    <w:p w14:paraId="540FB8FF" w14:textId="77083810" w:rsidR="00FF626A" w:rsidRDefault="00FD40FD" w:rsidP="00FF626A">
      <w:pPr>
        <w:jc w:val="both"/>
        <w:rPr>
          <w:i/>
          <w:iCs/>
        </w:rPr>
      </w:pPr>
      <w:r>
        <w:rPr>
          <w:i/>
          <w:iCs/>
        </w:rPr>
        <w:t xml:space="preserve">Comunicato stampa n. </w:t>
      </w:r>
      <w:r w:rsidR="006E7C2A">
        <w:rPr>
          <w:i/>
          <w:iCs/>
        </w:rPr>
        <w:t>2</w:t>
      </w:r>
      <w:r w:rsidR="00DA704C">
        <w:rPr>
          <w:i/>
          <w:iCs/>
        </w:rPr>
        <w:t>6</w:t>
      </w:r>
      <w:r>
        <w:rPr>
          <w:i/>
          <w:iCs/>
        </w:rPr>
        <w:t>/23</w:t>
      </w:r>
    </w:p>
    <w:p w14:paraId="73C8672A" w14:textId="77777777" w:rsidR="00FF626A" w:rsidRPr="00FF626A" w:rsidRDefault="00FF626A" w:rsidP="00FF626A">
      <w:pPr>
        <w:jc w:val="both"/>
        <w:rPr>
          <w:i/>
          <w:iCs/>
          <w:sz w:val="10"/>
          <w:szCs w:val="10"/>
        </w:rPr>
      </w:pPr>
    </w:p>
    <w:p w14:paraId="2C675D1F" w14:textId="77777777" w:rsidR="00526861" w:rsidRPr="00AD253C" w:rsidRDefault="00526861" w:rsidP="00526861">
      <w:pPr>
        <w:jc w:val="both"/>
        <w:rPr>
          <w:rFonts w:cs="Times New Roman"/>
          <w:b/>
          <w:bCs/>
          <w:sz w:val="28"/>
          <w:szCs w:val="28"/>
        </w:rPr>
      </w:pPr>
      <w:proofErr w:type="spellStart"/>
      <w:r w:rsidRPr="00AD253C">
        <w:rPr>
          <w:rFonts w:cs="Times New Roman"/>
          <w:b/>
          <w:bCs/>
          <w:sz w:val="28"/>
          <w:szCs w:val="28"/>
        </w:rPr>
        <w:t>Agrilevante</w:t>
      </w:r>
      <w:proofErr w:type="spellEnd"/>
      <w:r w:rsidRPr="00AD253C">
        <w:rPr>
          <w:rFonts w:cs="Times New Roman"/>
          <w:b/>
          <w:bCs/>
          <w:sz w:val="28"/>
          <w:szCs w:val="28"/>
        </w:rPr>
        <w:t>, il successo della sezione zootecnica</w:t>
      </w:r>
    </w:p>
    <w:p w14:paraId="146C3692" w14:textId="77777777" w:rsidR="00526861" w:rsidRPr="00A722C7" w:rsidRDefault="00526861" w:rsidP="00526861">
      <w:pPr>
        <w:jc w:val="both"/>
        <w:rPr>
          <w:rFonts w:cs="Times New Roman"/>
          <w:b/>
          <w:bCs/>
        </w:rPr>
      </w:pPr>
    </w:p>
    <w:p w14:paraId="16763D62" w14:textId="77777777" w:rsidR="00526861" w:rsidRPr="00127414" w:rsidRDefault="00526861" w:rsidP="00526861">
      <w:pPr>
        <w:jc w:val="both"/>
        <w:rPr>
          <w:rFonts w:cs="Times New Roman"/>
          <w:b/>
          <w:bCs/>
          <w:i/>
        </w:rPr>
      </w:pPr>
      <w:r w:rsidRPr="00127414">
        <w:rPr>
          <w:rFonts w:cs="Times New Roman"/>
          <w:b/>
          <w:bCs/>
          <w:i/>
        </w:rPr>
        <w:t>Sin dalla prima giornata della fiera un folto pubblico di operatori, buyer e appassionati ha affollato la tensostruttura che ospita più di 500 capi di allevamento tra</w:t>
      </w:r>
      <w:r w:rsidRPr="00127414">
        <w:rPr>
          <w:rFonts w:eastAsia="Times New Roman" w:cs="Times New Roman"/>
          <w:b/>
          <w:bCs/>
          <w:i/>
        </w:rPr>
        <w:t xml:space="preserve"> bovini, equini, ovini, e animali da cortile, espressione delle razze più pregiate. Negli spazi della zootecnia un ricco ventaglio di iniziative tra convegni, incontri di approfondimento, esibizioni. </w:t>
      </w:r>
    </w:p>
    <w:p w14:paraId="511D90DF" w14:textId="77777777" w:rsidR="00526861" w:rsidRDefault="00526861" w:rsidP="00526861">
      <w:pPr>
        <w:jc w:val="both"/>
        <w:rPr>
          <w:rFonts w:cs="Times New Roman"/>
        </w:rPr>
      </w:pPr>
    </w:p>
    <w:p w14:paraId="764BA4A8" w14:textId="411A48F6" w:rsidR="00526861" w:rsidRPr="00BE319A" w:rsidRDefault="00526861" w:rsidP="00526861">
      <w:pPr>
        <w:jc w:val="both"/>
        <w:rPr>
          <w:rFonts w:eastAsia="Times New Roman" w:cs="Times New Roman"/>
        </w:rPr>
      </w:pPr>
      <w:r w:rsidRPr="008F246B">
        <w:rPr>
          <w:rFonts w:cs="Times New Roman"/>
        </w:rPr>
        <w:t xml:space="preserve">Concorsi, gare di valutazione morfologica dei bovini, gare di conduzione del bestiame, ma anche iniziative rivolte agli studenti degli istituti agrari e convegni sui temi politici ed economici che interessano il comparto dell’allevamento. </w:t>
      </w:r>
      <w:r>
        <w:rPr>
          <w:rFonts w:cs="Times New Roman"/>
        </w:rPr>
        <w:t>O</w:t>
      </w:r>
      <w:r w:rsidRPr="008F246B">
        <w:rPr>
          <w:rFonts w:cs="Times New Roman"/>
        </w:rPr>
        <w:t xml:space="preserve">rganizzata </w:t>
      </w:r>
      <w:r>
        <w:rPr>
          <w:rFonts w:cs="Times New Roman"/>
        </w:rPr>
        <w:t xml:space="preserve">nella cornice di </w:t>
      </w:r>
      <w:proofErr w:type="spellStart"/>
      <w:r>
        <w:rPr>
          <w:rFonts w:cs="Times New Roman"/>
        </w:rPr>
        <w:t>Agrilevante</w:t>
      </w:r>
      <w:proofErr w:type="spellEnd"/>
      <w:r>
        <w:rPr>
          <w:rFonts w:cs="Times New Roman"/>
        </w:rPr>
        <w:t xml:space="preserve"> - la rassegna per la meccanizzazione delle filiere agricole del Mezzogiorno e del Mediterraneo, in svolgimento a Bari - la sezione zootecnica si conferma come uno dei punti di forza di questo evento espositivo. Sin dal giorno della fiera, apertasi giovedì scorso, un folto pubblico composto da operatori del settore, buyer e studenti, ma anche da appassionati di agricoltura e di attività in ambiente rurale, ha affollato gli spazi della tensostruttura – che si estende su </w:t>
      </w:r>
      <w:r w:rsidR="00BE319A">
        <w:rPr>
          <w:rFonts w:cs="Times New Roman"/>
        </w:rPr>
        <w:t>10.000</w:t>
      </w:r>
      <w:r>
        <w:rPr>
          <w:rFonts w:cs="Times New Roman"/>
        </w:rPr>
        <w:t xml:space="preserve"> metri quadrati - dove sono ospitati ben </w:t>
      </w:r>
      <w:r w:rsidRPr="008F246B">
        <w:rPr>
          <w:rFonts w:cs="Times New Roman"/>
        </w:rPr>
        <w:t xml:space="preserve">500 capi </w:t>
      </w:r>
      <w:r w:rsidRPr="008F246B">
        <w:rPr>
          <w:rFonts w:eastAsia="Times New Roman" w:cs="Times New Roman"/>
        </w:rPr>
        <w:t>tra</w:t>
      </w:r>
      <w:r w:rsidRPr="00322400">
        <w:rPr>
          <w:rFonts w:eastAsia="Times New Roman" w:cs="Times New Roman"/>
        </w:rPr>
        <w:t xml:space="preserve"> bovini, equini, ovini </w:t>
      </w:r>
      <w:r>
        <w:rPr>
          <w:rFonts w:eastAsia="Times New Roman" w:cs="Times New Roman"/>
        </w:rPr>
        <w:t>e a</w:t>
      </w:r>
      <w:r w:rsidRPr="00322400">
        <w:rPr>
          <w:rFonts w:eastAsia="Times New Roman" w:cs="Times New Roman"/>
        </w:rPr>
        <w:t>nimali da cortile</w:t>
      </w:r>
      <w:r>
        <w:rPr>
          <w:rFonts w:eastAsia="Times New Roman" w:cs="Times New Roman"/>
        </w:rPr>
        <w:t xml:space="preserve">, </w:t>
      </w:r>
      <w:r w:rsidRPr="00322400">
        <w:rPr>
          <w:rFonts w:eastAsia="Times New Roman" w:cs="Times New Roman"/>
        </w:rPr>
        <w:t>espressione delle più pregiate razze autoctone</w:t>
      </w:r>
      <w:r w:rsidRPr="008F246B">
        <w:rPr>
          <w:rFonts w:eastAsia="Times New Roman" w:cs="Times New Roman"/>
        </w:rPr>
        <w:t>.</w:t>
      </w:r>
      <w:r>
        <w:rPr>
          <w:rFonts w:eastAsia="Times New Roman" w:cs="Times New Roman"/>
        </w:rPr>
        <w:t xml:space="preserve"> Grande interesse hanno suscitato la mostra nazionale ovina della razza Gentile di Puglia, il raduno dei cavalli da tiro (a cura del </w:t>
      </w:r>
      <w:proofErr w:type="spellStart"/>
      <w:r>
        <w:rPr>
          <w:rFonts w:eastAsia="Times New Roman" w:cs="Times New Roman"/>
        </w:rPr>
        <w:t>CAITPR</w:t>
      </w:r>
      <w:proofErr w:type="spellEnd"/>
      <w:r>
        <w:rPr>
          <w:rFonts w:eastAsia="Times New Roman" w:cs="Times New Roman"/>
        </w:rPr>
        <w:t xml:space="preserve">, Cavallo Agricolo Italiano da Tiro) e la mostra bovina delle razze Bruna e Frisona Italiana, quest’ultima tenutasi proprio nella giornata odierna. Numerosi visitatori sono attesi anche nella giornata di domani per assistere alle spettacolari esibizioni dell’evento intitolato “Cavalli della nostra terra”. Nella sezione zootecnica di </w:t>
      </w:r>
      <w:proofErr w:type="spellStart"/>
      <w:r>
        <w:rPr>
          <w:rFonts w:eastAsia="Times New Roman" w:cs="Times New Roman"/>
        </w:rPr>
        <w:t>Agrilevante</w:t>
      </w:r>
      <w:proofErr w:type="spellEnd"/>
      <w:r>
        <w:rPr>
          <w:rFonts w:eastAsia="Times New Roman" w:cs="Times New Roman"/>
        </w:rPr>
        <w:t xml:space="preserve"> particolare evidenza hanno avuto anche gli incontri di approfondimento tecnico. Il settore del latte è stato al centro del convegno dal titolo “Produrre latte oggi: mungere, valutare, gestire”, un’occasione di confronto sulle principali tematiche del comparto fra allevatori, tecnici, responsabili delle industrie specializzate nei sistemi di mungitura meccanizzata e referenti istituzionali. Di allevamento caprino, in particolare, si è parlato in occasione dell’evento sul tema “Le potenzialità del settore ovino e caprino”, promosso dall’Associazione Nazionale della Pastorizia (</w:t>
      </w:r>
      <w:proofErr w:type="spellStart"/>
      <w:r>
        <w:rPr>
          <w:rFonts w:eastAsia="Times New Roman" w:cs="Times New Roman"/>
        </w:rPr>
        <w:t>ASSONAPA</w:t>
      </w:r>
      <w:proofErr w:type="spellEnd"/>
      <w:r>
        <w:rPr>
          <w:rFonts w:eastAsia="Times New Roman" w:cs="Times New Roman"/>
        </w:rPr>
        <w:t xml:space="preserve">). Il “sistema allevatori” torna dunque a Bari in grande stile – ha spiegato il presidente dell’AIA Roberto Nocentini - e conferma l’interesse crescente per la biodiversità zootecnica. «La zootecnia della Puglia si distingue non solo per la capacità di armonizzarsi con i diversi contesti ambientali del territorio – ha detto Nocentini – ma anche per le sue eccellenze produttive e per l’alto livello genetico dei capi di bestiame». «Il network degli allevatori e il sistema-Puglia sono in prima linea per contribuire al successo di </w:t>
      </w:r>
      <w:proofErr w:type="spellStart"/>
      <w:r>
        <w:rPr>
          <w:rFonts w:eastAsia="Times New Roman" w:cs="Times New Roman"/>
        </w:rPr>
        <w:t>Agrilevante</w:t>
      </w:r>
      <w:proofErr w:type="spellEnd"/>
      <w:r>
        <w:rPr>
          <w:rFonts w:eastAsia="Times New Roman" w:cs="Times New Roman"/>
        </w:rPr>
        <w:t xml:space="preserve"> - ha concluso il presidente dell’AIA </w:t>
      </w:r>
      <w:r w:rsidR="00BE319A">
        <w:rPr>
          <w:rFonts w:eastAsia="Times New Roman" w:cs="Times New Roman"/>
        </w:rPr>
        <w:t>–</w:t>
      </w:r>
      <w:r>
        <w:rPr>
          <w:rFonts w:eastAsia="Times New Roman" w:cs="Times New Roman"/>
        </w:rPr>
        <w:t xml:space="preserve"> un evento strategico per i settori agricolo, </w:t>
      </w:r>
      <w:proofErr w:type="spellStart"/>
      <w:r>
        <w:rPr>
          <w:rFonts w:eastAsia="Times New Roman" w:cs="Times New Roman"/>
        </w:rPr>
        <w:t>agromeccanico</w:t>
      </w:r>
      <w:proofErr w:type="spellEnd"/>
      <w:r>
        <w:rPr>
          <w:rFonts w:eastAsia="Times New Roman" w:cs="Times New Roman"/>
        </w:rPr>
        <w:t xml:space="preserve"> e zootecnico, che guarda con estremo interesse sia al Mediterraneo che ai Paesi emergenti».</w:t>
      </w:r>
    </w:p>
    <w:p w14:paraId="74046B99" w14:textId="77777777" w:rsidR="00FF626A" w:rsidRPr="0098166A" w:rsidRDefault="00FF626A" w:rsidP="00FF626A">
      <w:pPr>
        <w:rPr>
          <w:rFonts w:cs="Times New Roman"/>
        </w:rPr>
      </w:pPr>
    </w:p>
    <w:p w14:paraId="157C861E" w14:textId="6B144A0C" w:rsidR="007A3C0D" w:rsidRPr="0035024F" w:rsidRDefault="00FF6484" w:rsidP="0035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DA704C">
        <w:rPr>
          <w:rFonts w:eastAsia="Times New Roman" w:cs="Times New Roman"/>
          <w:b/>
          <w:bCs/>
          <w:color w:val="222222"/>
        </w:rPr>
        <w:t>7</w:t>
      </w:r>
      <w:r w:rsidRPr="00FF6484">
        <w:rPr>
          <w:rFonts w:eastAsia="Times New Roman" w:cs="Times New Roman"/>
          <w:b/>
          <w:bCs/>
          <w:color w:val="222222"/>
        </w:rPr>
        <w:t xml:space="preserve"> ottobre 2023</w:t>
      </w:r>
    </w:p>
    <w:sectPr w:rsidR="007A3C0D" w:rsidRPr="0035024F"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A339" w14:textId="77777777" w:rsidR="003A5FFD" w:rsidRDefault="003A5FFD">
      <w:r>
        <w:separator/>
      </w:r>
    </w:p>
  </w:endnote>
  <w:endnote w:type="continuationSeparator" w:id="0">
    <w:p w14:paraId="7FB1E58F" w14:textId="77777777" w:rsidR="003A5FFD" w:rsidRDefault="003A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899"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7CE"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AB73" w14:textId="77777777" w:rsidR="003A5FFD" w:rsidRDefault="003A5FFD">
      <w:r>
        <w:separator/>
      </w:r>
    </w:p>
  </w:footnote>
  <w:footnote w:type="continuationSeparator" w:id="0">
    <w:p w14:paraId="4A80AB8D" w14:textId="77777777" w:rsidR="003A5FFD" w:rsidRDefault="003A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1BF" w14:textId="5D10B059" w:rsidR="007A3C0D" w:rsidRDefault="00725B1D">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1F2FFC2B" wp14:editId="65829165">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6FC202B4"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782" w14:textId="5596DFD6" w:rsidR="007A3C0D" w:rsidRDefault="00725B1D">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EE9B0F3" wp14:editId="12D3775D">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18D962A0"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36361E03" wp14:editId="552A3AB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5024F"/>
    <w:rsid w:val="003620E0"/>
    <w:rsid w:val="003A5FFD"/>
    <w:rsid w:val="003D5FF9"/>
    <w:rsid w:val="00406631"/>
    <w:rsid w:val="00461953"/>
    <w:rsid w:val="004B3656"/>
    <w:rsid w:val="004D7A6C"/>
    <w:rsid w:val="004F6D3F"/>
    <w:rsid w:val="00523121"/>
    <w:rsid w:val="00526861"/>
    <w:rsid w:val="00541F94"/>
    <w:rsid w:val="005C5C20"/>
    <w:rsid w:val="006127EC"/>
    <w:rsid w:val="00637539"/>
    <w:rsid w:val="006523F7"/>
    <w:rsid w:val="00690F55"/>
    <w:rsid w:val="006A168C"/>
    <w:rsid w:val="006A444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A41730"/>
    <w:rsid w:val="00A66348"/>
    <w:rsid w:val="00A80FF9"/>
    <w:rsid w:val="00BA3C07"/>
    <w:rsid w:val="00BE319A"/>
    <w:rsid w:val="00BE63E9"/>
    <w:rsid w:val="00C40720"/>
    <w:rsid w:val="00CA61D3"/>
    <w:rsid w:val="00D175F3"/>
    <w:rsid w:val="00D23264"/>
    <w:rsid w:val="00D819EF"/>
    <w:rsid w:val="00DA704C"/>
    <w:rsid w:val="00E13E8E"/>
    <w:rsid w:val="00E66F21"/>
    <w:rsid w:val="00E96AA0"/>
    <w:rsid w:val="00EE0711"/>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45F"/>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2023-10-06T06:57:00Z</cp:lastPrinted>
  <dcterms:created xsi:type="dcterms:W3CDTF">2023-10-07T14:35:00Z</dcterms:created>
  <dcterms:modified xsi:type="dcterms:W3CDTF">2023-10-07T14:35:00Z</dcterms:modified>
</cp:coreProperties>
</file>